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5D" w:rsidRDefault="00885AFC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  <w:rtl/>
        </w:rPr>
        <w:t>نموذج</w:t>
      </w:r>
      <w:proofErr w:type="gramEnd"/>
      <w:r>
        <w:rPr>
          <w:b/>
          <w:color w:val="000000"/>
          <w:sz w:val="32"/>
          <w:szCs w:val="32"/>
          <w:rtl/>
        </w:rPr>
        <w:t xml:space="preserve"> وصف المقرر</w:t>
      </w:r>
    </w:p>
    <w:tbl>
      <w:tblPr>
        <w:tblStyle w:val="a5"/>
        <w:bidiVisual/>
        <w:tblW w:w="9720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375D">
        <w:trPr>
          <w:trHeight w:val="794"/>
          <w:jc w:val="right"/>
        </w:trPr>
        <w:tc>
          <w:tcPr>
            <w:tcW w:w="972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>مراجعة</w:t>
            </w:r>
            <w:proofErr w:type="gramEnd"/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 أداء مؤسسات التعليم العالي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((</w:t>
            </w: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>مراجعة البرنامج الأكاديمي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))</w:t>
            </w:r>
          </w:p>
        </w:tc>
      </w:tr>
    </w:tbl>
    <w:p w:rsidR="0077375D" w:rsidRDefault="00885AFC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993300"/>
          <w:sz w:val="32"/>
          <w:szCs w:val="32"/>
        </w:rPr>
      </w:pPr>
      <w:r>
        <w:rPr>
          <w:b/>
          <w:color w:val="1F4E79"/>
          <w:sz w:val="32"/>
          <w:szCs w:val="32"/>
          <w:rtl/>
        </w:rPr>
        <w:t>وصف المقرر</w:t>
      </w:r>
    </w:p>
    <w:tbl>
      <w:tblPr>
        <w:tblStyle w:val="a6"/>
        <w:bidiVisual/>
        <w:tblW w:w="9720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375D">
        <w:trPr>
          <w:trHeight w:val="794"/>
          <w:jc w:val="right"/>
        </w:trPr>
        <w:tc>
          <w:tcPr>
            <w:tcW w:w="9720" w:type="dxa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40" w:after="200" w:line="276" w:lineRule="auto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توفر مادة النظام المحاسبي الموحد مدخلا يتعرف من خلاله الطالب الى اهم المصطلحات المستخدمة في النظام المحاسبي الموحد وتمكنه من التعلم اهم التطبيقات المحاسبية </w:t>
            </w: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المتعلقة بالنظام المحاسبي الموحد والتي تمثل أساسا يعتمد عليه الطالب في حياة المهنية </w:t>
            </w:r>
          </w:p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40" w:after="200" w:line="276" w:lineRule="auto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40" w:after="200" w:line="276" w:lineRule="auto"/>
              <w:jc w:val="both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</w:tc>
      </w:tr>
    </w:tbl>
    <w:p w:rsidR="0077375D" w:rsidRDefault="0077375D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ind w:left="-335" w:right="-42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7"/>
        <w:bidiVisual/>
        <w:tblW w:w="10065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808"/>
        <w:gridCol w:w="6257"/>
      </w:tblGrid>
      <w:tr w:rsidR="0077375D">
        <w:trPr>
          <w:trHeight w:val="578"/>
          <w:jc w:val="right"/>
        </w:trPr>
        <w:tc>
          <w:tcPr>
            <w:tcW w:w="3808" w:type="dxa"/>
            <w:tcBorders>
              <w:right w:val="single" w:sz="6" w:space="0" w:color="4F81BD"/>
            </w:tcBorders>
            <w:vAlign w:val="center"/>
          </w:tcPr>
          <w:p w:rsidR="0077375D" w:rsidRDefault="00885A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المؤسسة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التعليمية</w:t>
            </w:r>
          </w:p>
        </w:tc>
        <w:tc>
          <w:tcPr>
            <w:tcW w:w="6257" w:type="dxa"/>
            <w:tcBorders>
              <w:left w:val="single" w:sz="6" w:space="0" w:color="4F81BD"/>
            </w:tcBorders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Cambria" w:eastAsia="Cambria" w:hAnsi="Cambria"/>
                <w:b/>
                <w:color w:val="000000"/>
                <w:sz w:val="36"/>
                <w:szCs w:val="36"/>
                <w:rtl/>
              </w:rPr>
              <w:t>جامعة</w:t>
            </w:r>
            <w:proofErr w:type="gramEnd"/>
            <w:r>
              <w:rPr>
                <w:rFonts w:ascii="Cambria" w:eastAsia="Cambria" w:hAnsi="Cambria"/>
                <w:b/>
                <w:color w:val="000000"/>
                <w:sz w:val="36"/>
                <w:szCs w:val="36"/>
                <w:rtl/>
              </w:rPr>
              <w:t xml:space="preserve"> الكوفة </w:t>
            </w:r>
          </w:p>
        </w:tc>
      </w:tr>
      <w:tr w:rsidR="0077375D">
        <w:trPr>
          <w:trHeight w:val="578"/>
          <w:jc w:val="right"/>
        </w:trPr>
        <w:tc>
          <w:tcPr>
            <w:tcW w:w="3808" w:type="dxa"/>
            <w:vAlign w:val="center"/>
          </w:tcPr>
          <w:p w:rsidR="0077375D" w:rsidRDefault="00885A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القسم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العلمي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6257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كلية الإدارة والاقتصاد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قسم المحاسبة </w:t>
            </w:r>
          </w:p>
        </w:tc>
      </w:tr>
      <w:tr w:rsidR="0077375D">
        <w:trPr>
          <w:trHeight w:val="578"/>
          <w:jc w:val="right"/>
        </w:trPr>
        <w:tc>
          <w:tcPr>
            <w:tcW w:w="3808" w:type="dxa"/>
            <w:tcBorders>
              <w:right w:val="single" w:sz="6" w:space="0" w:color="4F81BD"/>
            </w:tcBorders>
            <w:vAlign w:val="center"/>
          </w:tcPr>
          <w:p w:rsidR="0077375D" w:rsidRDefault="00885A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6257" w:type="dxa"/>
            <w:tcBorders>
              <w:left w:val="single" w:sz="6" w:space="0" w:color="4F81BD"/>
            </w:tcBorders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النظام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المحاسبي الموحد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ACC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314    </w:t>
            </w:r>
          </w:p>
        </w:tc>
      </w:tr>
      <w:tr w:rsidR="0077375D">
        <w:trPr>
          <w:trHeight w:val="578"/>
          <w:jc w:val="right"/>
        </w:trPr>
        <w:tc>
          <w:tcPr>
            <w:tcW w:w="3808" w:type="dxa"/>
            <w:vAlign w:val="center"/>
          </w:tcPr>
          <w:p w:rsidR="0077375D" w:rsidRDefault="00885A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أشكال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الحضور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المتاحة</w:t>
            </w:r>
          </w:p>
        </w:tc>
        <w:tc>
          <w:tcPr>
            <w:tcW w:w="6257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حضور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مباشر</w:t>
            </w:r>
          </w:p>
        </w:tc>
      </w:tr>
      <w:tr w:rsidR="0077375D">
        <w:trPr>
          <w:trHeight w:val="578"/>
          <w:jc w:val="right"/>
        </w:trPr>
        <w:tc>
          <w:tcPr>
            <w:tcW w:w="3808" w:type="dxa"/>
            <w:tcBorders>
              <w:right w:val="single" w:sz="6" w:space="0" w:color="4F81BD"/>
            </w:tcBorders>
            <w:vAlign w:val="center"/>
          </w:tcPr>
          <w:p w:rsidR="0077375D" w:rsidRDefault="00885A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الفصل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6257" w:type="dxa"/>
            <w:tcBorders>
              <w:left w:val="single" w:sz="6" w:space="0" w:color="4F81BD"/>
            </w:tcBorders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الثالث </w:t>
            </w:r>
          </w:p>
        </w:tc>
      </w:tr>
      <w:tr w:rsidR="0077375D">
        <w:trPr>
          <w:trHeight w:val="578"/>
          <w:jc w:val="right"/>
        </w:trPr>
        <w:tc>
          <w:tcPr>
            <w:tcW w:w="3808" w:type="dxa"/>
            <w:vAlign w:val="center"/>
          </w:tcPr>
          <w:p w:rsidR="0077375D" w:rsidRDefault="00885A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الكلي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6257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60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</w:tr>
      <w:tr w:rsidR="0077375D">
        <w:trPr>
          <w:trHeight w:val="578"/>
          <w:jc w:val="right"/>
        </w:trPr>
        <w:tc>
          <w:tcPr>
            <w:tcW w:w="3808" w:type="dxa"/>
            <w:tcBorders>
              <w:right w:val="single" w:sz="6" w:space="0" w:color="4F81BD"/>
            </w:tcBorders>
            <w:vAlign w:val="center"/>
          </w:tcPr>
          <w:p w:rsidR="0077375D" w:rsidRDefault="00885A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إعداد هذا الوصف</w:t>
            </w:r>
          </w:p>
        </w:tc>
        <w:tc>
          <w:tcPr>
            <w:tcW w:w="6257" w:type="dxa"/>
            <w:tcBorders>
              <w:left w:val="single" w:sz="6" w:space="0" w:color="4F81BD"/>
            </w:tcBorders>
            <w:vAlign w:val="center"/>
          </w:tcPr>
          <w:p w:rsidR="0077375D" w:rsidRDefault="00885AFC" w:rsidP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color w:val="000000"/>
                <w:sz w:val="28"/>
                <w:szCs w:val="28"/>
              </w:rPr>
              <w:t>10/9/2020</w:t>
            </w:r>
            <w:bookmarkStart w:id="0" w:name="_GoBack"/>
            <w:bookmarkEnd w:id="0"/>
          </w:p>
        </w:tc>
      </w:tr>
      <w:tr w:rsidR="0077375D">
        <w:trPr>
          <w:trHeight w:val="578"/>
          <w:jc w:val="right"/>
        </w:trPr>
        <w:tc>
          <w:tcPr>
            <w:tcW w:w="3808" w:type="dxa"/>
            <w:vAlign w:val="center"/>
          </w:tcPr>
          <w:p w:rsidR="0077375D" w:rsidRDefault="00885A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أهداف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6257" w:type="dxa"/>
            <w:vAlign w:val="center"/>
          </w:tcPr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7375D">
        <w:trPr>
          <w:trHeight w:val="245"/>
          <w:jc w:val="right"/>
        </w:trPr>
        <w:tc>
          <w:tcPr>
            <w:tcW w:w="10065" w:type="dxa"/>
            <w:gridSpan w:val="2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تعريف الطالب بالمصطلحات الأساسية المستخدمة في النظام المحاسبي الموحد  </w:t>
            </w:r>
          </w:p>
        </w:tc>
      </w:tr>
      <w:tr w:rsidR="0077375D">
        <w:trPr>
          <w:trHeight w:val="245"/>
          <w:jc w:val="right"/>
        </w:trPr>
        <w:tc>
          <w:tcPr>
            <w:tcW w:w="10065" w:type="dxa"/>
            <w:gridSpan w:val="2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تعريف الطالب بنبذة تاريخية عن النظام المحاسبي الموحد </w:t>
            </w: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ومجالات تطبيق النظام المحاسبي الموحد </w:t>
            </w:r>
          </w:p>
        </w:tc>
      </w:tr>
      <w:tr w:rsidR="0077375D">
        <w:trPr>
          <w:trHeight w:val="245"/>
          <w:jc w:val="right"/>
        </w:trPr>
        <w:tc>
          <w:tcPr>
            <w:tcW w:w="10065" w:type="dxa"/>
            <w:gridSpan w:val="2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تعريف الطالب بطرق اقتناء الموجود الثابت </w:t>
            </w:r>
          </w:p>
        </w:tc>
      </w:tr>
      <w:tr w:rsidR="0077375D">
        <w:trPr>
          <w:trHeight w:val="245"/>
          <w:jc w:val="right"/>
        </w:trPr>
        <w:tc>
          <w:tcPr>
            <w:tcW w:w="10065" w:type="dxa"/>
            <w:gridSpan w:val="2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>تعريف الطالب بحسابات المخزون والمعالجات المحاسبية لحسابات المخزون</w:t>
            </w:r>
          </w:p>
        </w:tc>
      </w:tr>
      <w:tr w:rsidR="0077375D">
        <w:trPr>
          <w:trHeight w:val="245"/>
          <w:jc w:val="right"/>
        </w:trPr>
        <w:tc>
          <w:tcPr>
            <w:tcW w:w="10065" w:type="dxa"/>
            <w:gridSpan w:val="2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تعريف الطالب بحسابات القروض والفوائد للقروض </w:t>
            </w:r>
          </w:p>
        </w:tc>
      </w:tr>
      <w:tr w:rsidR="0077375D">
        <w:trPr>
          <w:trHeight w:val="245"/>
          <w:jc w:val="right"/>
        </w:trPr>
        <w:tc>
          <w:tcPr>
            <w:tcW w:w="10065" w:type="dxa"/>
            <w:gridSpan w:val="2"/>
            <w:vAlign w:val="center"/>
          </w:tcPr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77375D" w:rsidRDefault="0077375D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8"/>
        <w:bidiVisual/>
        <w:tblW w:w="9716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77375D">
        <w:trPr>
          <w:trHeight w:val="561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مخرجات المقرر وطرائق التعليم والتعلم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والتقييم</w:t>
            </w:r>
            <w:proofErr w:type="gramEnd"/>
          </w:p>
        </w:tc>
      </w:tr>
      <w:tr w:rsidR="0077375D">
        <w:trPr>
          <w:trHeight w:val="2142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الاهداف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المعرفية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معرفة الطالب ماهية النظام المحاسبي الموحد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فهم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الطالب أساس الاستحقاق ومتى استخدامه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الطالب كيفية تسجيل قيود الاستحقاق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معرفة الطالب كيفية تسجيل قيود التسديد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والاستلام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5-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فهم الطالب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كيفية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الترحيل للحسابات المختصة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6-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ترصيد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الحسابات وبيان اثر تلك الحسابات على القوائم المالية </w:t>
            </w:r>
          </w:p>
        </w:tc>
      </w:tr>
      <w:tr w:rsidR="0077375D">
        <w:trPr>
          <w:trHeight w:val="1403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الاهداف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المهاراتية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الخاصة بالمقرر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 –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قدرة الطالب على اجراء القيود المحاسبية لاقتناء الموجودات الثابتة  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–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تمكين الطالب من تسجيل القيود المحاسبية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الخاصة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بالمخزون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 –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قدرة الطالب على اعداد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القوائم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   </w:t>
            </w:r>
          </w:p>
        </w:tc>
      </w:tr>
      <w:tr w:rsidR="0077375D">
        <w:trPr>
          <w:trHeight w:val="363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التعليم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والتعلم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77375D">
        <w:trPr>
          <w:trHeight w:val="536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اعداد محاضرات للطلبة بالاعتماد على المصادر الحديثة وكذلك فسح المجال للطلبة للمشاركة في مناقشة وشرح بعض جوانب المحاضرة </w:t>
            </w:r>
          </w:p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7375D">
        <w:trPr>
          <w:trHeight w:val="344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طرائق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التقييم </w:t>
            </w:r>
          </w:p>
        </w:tc>
      </w:tr>
      <w:tr w:rsidR="0077375D">
        <w:trPr>
          <w:trHeight w:val="750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عن طريق اجراء امتحانات تحريرية شهرية ويومية وواجبات تكلف بيه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الطلبة وكذلك مشاركات الطلبة اثناء أداء المحاضرة </w:t>
            </w:r>
          </w:p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7375D">
        <w:trPr>
          <w:trHeight w:val="1109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الاهداف الوجدانية والقيمية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اثارة دافعية الطالب بصوره تدرجية من خلال  أسئلة عامة واختبارات عامة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تذكير الطالب بالمحاضرة الماضية لجلب انتباههم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توجيه أسئلة للطالب في ما يتعلق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بالمحاضرة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.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تحفيز الطلبة عن طريق وسائل تحفيز مختلفة للمشاركة في المحاضرة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375D">
        <w:trPr>
          <w:trHeight w:val="405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طرائق التعليم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والتعلم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77375D">
        <w:trPr>
          <w:trHeight w:val="409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توجيه الطلبة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على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حل بعض المسائل المتعلقة بالمقرر الدراسي </w:t>
            </w:r>
          </w:p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7375D">
        <w:trPr>
          <w:trHeight w:val="365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طرائق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التقييم </w:t>
            </w:r>
          </w:p>
        </w:tc>
      </w:tr>
      <w:tr w:rsidR="0077375D">
        <w:trPr>
          <w:trHeight w:val="504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اعداد أسئلة شفويه وتحريرية يومية ذات طابع تطبيقي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تفكيري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</w:p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7375D">
        <w:trPr>
          <w:trHeight w:val="1362"/>
          <w:jc w:val="right"/>
        </w:trPr>
        <w:tc>
          <w:tcPr>
            <w:tcW w:w="971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المهارات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العامة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والمنقولة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تمكين الطالب ان يكون جاهز للعمل في أي وحدة اقتصادية تطبق النظام المحاسبي الموحد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قدرة الطالب على اعداد بحوث ومحاضرات  في مادة النظام المحاسبي الموحد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.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قدرة الطالب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على فهم كيفية تتم المعالجات المحاسبية في الوحدات الاقتصادية الهادفة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للربح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  </w:t>
            </w:r>
          </w:p>
        </w:tc>
      </w:tr>
    </w:tbl>
    <w:p w:rsidR="0077375D" w:rsidRDefault="0077375D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8"/>
          <w:szCs w:val="28"/>
        </w:rPr>
      </w:pPr>
    </w:p>
    <w:tbl>
      <w:tblPr>
        <w:tblStyle w:val="a9"/>
        <w:bidiVisual/>
        <w:tblW w:w="9072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22"/>
        <w:gridCol w:w="1530"/>
        <w:gridCol w:w="2976"/>
        <w:gridCol w:w="1254"/>
        <w:gridCol w:w="1440"/>
      </w:tblGrid>
      <w:tr w:rsidR="0077375D">
        <w:trPr>
          <w:trHeight w:val="538"/>
          <w:jc w:val="right"/>
        </w:trPr>
        <w:tc>
          <w:tcPr>
            <w:tcW w:w="9072" w:type="dxa"/>
            <w:gridSpan w:val="6"/>
            <w:vAlign w:val="center"/>
          </w:tcPr>
          <w:p w:rsidR="0077375D" w:rsidRDefault="00885A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بنية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المقرر</w:t>
            </w:r>
          </w:p>
        </w:tc>
      </w:tr>
      <w:tr w:rsidR="0077375D">
        <w:trPr>
          <w:trHeight w:val="907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>الأسبوع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التعلم المطلوبة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الوحدة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المساق أو الموضوع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التعليم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التقييم</w:t>
            </w:r>
          </w:p>
        </w:tc>
      </w:tr>
      <w:tr w:rsidR="0077375D">
        <w:trPr>
          <w:trHeight w:val="39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نبذة مختصرة من النظام المحاسبي الموحد 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شرح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مناقشة</w:t>
            </w:r>
          </w:p>
        </w:tc>
      </w:tr>
      <w:tr w:rsidR="0077375D">
        <w:trPr>
          <w:trHeight w:val="33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نطاق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تطبيق النظام المحاسبي الموحد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مخطط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يوضح المحاضرة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مناقشة </w:t>
            </w:r>
          </w:p>
        </w:tc>
      </w:tr>
      <w:tr w:rsidR="0077375D">
        <w:trPr>
          <w:trHeight w:val="320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تعريف واهداف وسمات النظام المحاسبي الموحد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شرح المحاضرة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مناقشة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 </w:t>
            </w:r>
          </w:p>
        </w:tc>
      </w:tr>
      <w:tr w:rsidR="0077375D">
        <w:trPr>
          <w:trHeight w:val="331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طرائق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اقتناء الموجودات الثابتة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شرح المحاضرة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40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اقتناء الموجودات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الثابتة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عن طريق الشراء من السوق المحلية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23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اقتناء الموجودات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الثابتة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عن طريق الشراء من السوق الخارجية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اقتناء الموجودات الثابتة عن طريق الهدايا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والتبرعات</w:t>
            </w:r>
            <w:proofErr w:type="gramEnd"/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انشاء الموجودات الثابتة بواسطة المقاولين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انشاء الموجودات الثابتة بواسطة اللجان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الحصول على الموجودات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الثابتة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من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الدولة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مفهوم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وتعريف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المخزون 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1/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طرائق الحصول على المخزون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قواعد العامة للحصول على المخزون 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شراء المخزون من السوق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المحلية</w:t>
            </w:r>
            <w:proofErr w:type="gramEnd"/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شراء المخزون من السوق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الخارجية</w:t>
            </w:r>
            <w:proofErr w:type="gramEnd"/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مخزون مخلفات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ومستهلكات</w:t>
            </w:r>
            <w:proofErr w:type="gramEnd"/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مخزون انتاج تحت التشغيل 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مخزون انتاج التام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</w:tbl>
    <w:p w:rsidR="0077375D" w:rsidRDefault="0077375D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a"/>
        <w:bidiVisual/>
        <w:tblW w:w="9072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022"/>
        <w:gridCol w:w="1530"/>
        <w:gridCol w:w="2976"/>
        <w:gridCol w:w="1254"/>
        <w:gridCol w:w="1440"/>
      </w:tblGrid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مخزون انتاج حيواني 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مثال على اللوحة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مخزون انتاج نباتي زراعة قائمة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مخزون البضائع لدى الغير 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الموجودات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الأخرى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المعالجات المحاسبية للقروض المستلمة 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المعالجات المحاسبية للقروض الممنوحة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الاستثمارات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المالية 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المدينون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والدائنون</w:t>
            </w:r>
            <w:proofErr w:type="gramEnd"/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الحسابات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الجارية المدينة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الحسابات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الجارية الدائنة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سلف التعهدات الثانوية </w:t>
            </w: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وحسابات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التعهدات </w:t>
            </w:r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</w:t>
            </w:r>
          </w:p>
        </w:tc>
      </w:tr>
      <w:tr w:rsidR="0077375D">
        <w:trPr>
          <w:trHeight w:val="319"/>
          <w:jc w:val="right"/>
        </w:trPr>
        <w:tc>
          <w:tcPr>
            <w:tcW w:w="85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22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ساعة</w:t>
            </w:r>
          </w:p>
        </w:tc>
        <w:tc>
          <w:tcPr>
            <w:tcW w:w="153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التأمينات والتسويات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القيدية</w:t>
            </w:r>
            <w:proofErr w:type="spellEnd"/>
          </w:p>
        </w:tc>
        <w:tc>
          <w:tcPr>
            <w:tcW w:w="1254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مثال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على اللوحة</w:t>
            </w:r>
          </w:p>
        </w:tc>
        <w:tc>
          <w:tcPr>
            <w:tcW w:w="1440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28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توجيه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الأسئلة </w:t>
            </w:r>
          </w:p>
        </w:tc>
      </w:tr>
    </w:tbl>
    <w:p w:rsidR="0077375D" w:rsidRDefault="0077375D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77375D" w:rsidRDefault="0077375D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b"/>
        <w:bidiVisual/>
        <w:tblW w:w="9073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7"/>
      </w:tblGrid>
      <w:tr w:rsidR="0077375D">
        <w:trPr>
          <w:trHeight w:val="477"/>
          <w:jc w:val="right"/>
        </w:trPr>
        <w:tc>
          <w:tcPr>
            <w:tcW w:w="9073" w:type="dxa"/>
            <w:gridSpan w:val="2"/>
            <w:vAlign w:val="center"/>
          </w:tcPr>
          <w:p w:rsidR="0077375D" w:rsidRDefault="00885A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77375D">
        <w:trPr>
          <w:trHeight w:val="1587"/>
          <w:jc w:val="right"/>
        </w:trPr>
        <w:tc>
          <w:tcPr>
            <w:tcW w:w="3686" w:type="dxa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الكتب </w:t>
            </w:r>
            <w:proofErr w:type="gramStart"/>
            <w:r>
              <w:rPr>
                <w:b/>
                <w:color w:val="000000"/>
                <w:sz w:val="28"/>
                <w:szCs w:val="28"/>
                <w:rtl/>
              </w:rPr>
              <w:t>المقررة  المطلوبة</w:t>
            </w:r>
            <w:proofErr w:type="gramEnd"/>
            <w:r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ind w:left="72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rtl/>
              </w:rPr>
              <w:t>المراجع</w:t>
            </w:r>
            <w:proofErr w:type="gramEnd"/>
            <w:r>
              <w:rPr>
                <w:b/>
                <w:color w:val="000000"/>
                <w:sz w:val="28"/>
                <w:szCs w:val="28"/>
                <w:rtl/>
              </w:rPr>
              <w:t xml:space="preserve"> الرئيسية (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المصادر )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كتاب النظام المحاسبي الموحد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الكتاب المنهجي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</w:p>
        </w:tc>
      </w:tr>
      <w:tr w:rsidR="0077375D">
        <w:trPr>
          <w:trHeight w:val="1247"/>
          <w:jc w:val="right"/>
        </w:trPr>
        <w:tc>
          <w:tcPr>
            <w:tcW w:w="3686" w:type="dxa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الكتب </w:t>
            </w:r>
            <w:proofErr w:type="gramStart"/>
            <w:r>
              <w:rPr>
                <w:b/>
                <w:color w:val="000000"/>
                <w:sz w:val="28"/>
                <w:szCs w:val="28"/>
                <w:rtl/>
              </w:rPr>
              <w:t>والمراجع</w:t>
            </w:r>
            <w:proofErr w:type="gramEnd"/>
            <w:r>
              <w:rPr>
                <w:b/>
                <w:color w:val="000000"/>
                <w:sz w:val="28"/>
                <w:szCs w:val="28"/>
                <w:rtl/>
              </w:rPr>
              <w:t xml:space="preserve"> التي يوصى بها </w:t>
            </w:r>
          </w:p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( المجلات </w:t>
            </w:r>
            <w:proofErr w:type="gramStart"/>
            <w:r>
              <w:rPr>
                <w:b/>
                <w:color w:val="000000"/>
                <w:sz w:val="28"/>
                <w:szCs w:val="28"/>
                <w:rtl/>
              </w:rPr>
              <w:t>العلمية ،</w:t>
            </w:r>
            <w:proofErr w:type="gramEnd"/>
            <w:r>
              <w:rPr>
                <w:b/>
                <w:color w:val="000000"/>
                <w:sz w:val="28"/>
                <w:szCs w:val="28"/>
                <w:rtl/>
              </w:rPr>
              <w:t xml:space="preserve"> التقارير ) </w:t>
            </w:r>
          </w:p>
        </w:tc>
        <w:tc>
          <w:tcPr>
            <w:tcW w:w="5387" w:type="dxa"/>
            <w:vAlign w:val="center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مناقشة و مشاركة التفاعل بين الطلبة </w:t>
            </w:r>
          </w:p>
        </w:tc>
      </w:tr>
      <w:tr w:rsidR="0077375D">
        <w:trPr>
          <w:trHeight w:val="1247"/>
          <w:jc w:val="right"/>
        </w:trPr>
        <w:tc>
          <w:tcPr>
            <w:tcW w:w="3686" w:type="dxa"/>
          </w:tcPr>
          <w:p w:rsidR="0077375D" w:rsidRDefault="00885A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المراجع </w:t>
            </w:r>
            <w:proofErr w:type="gramStart"/>
            <w:r>
              <w:rPr>
                <w:b/>
                <w:color w:val="000000"/>
                <w:sz w:val="28"/>
                <w:szCs w:val="28"/>
                <w:rtl/>
              </w:rPr>
              <w:t>الالكترونية ،</w:t>
            </w:r>
            <w:proofErr w:type="gramEnd"/>
            <w:r>
              <w:rPr>
                <w:b/>
                <w:color w:val="000000"/>
                <w:sz w:val="28"/>
                <w:szCs w:val="28"/>
                <w:rtl/>
              </w:rPr>
              <w:t xml:space="preserve"> التقارير </w:t>
            </w:r>
          </w:p>
        </w:tc>
        <w:tc>
          <w:tcPr>
            <w:tcW w:w="5387" w:type="dxa"/>
            <w:vAlign w:val="center"/>
          </w:tcPr>
          <w:p w:rsidR="0077375D" w:rsidRDefault="0077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77375D">
        <w:trPr>
          <w:trHeight w:val="419"/>
          <w:jc w:val="right"/>
        </w:trPr>
        <w:tc>
          <w:tcPr>
            <w:tcW w:w="9073" w:type="dxa"/>
            <w:gridSpan w:val="2"/>
            <w:vAlign w:val="center"/>
          </w:tcPr>
          <w:p w:rsidR="0077375D" w:rsidRDefault="00885A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خطة</w:t>
            </w:r>
            <w:proofErr w:type="gram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تطوير المقرر الدراسي </w:t>
            </w:r>
          </w:p>
        </w:tc>
      </w:tr>
      <w:tr w:rsidR="0077375D">
        <w:trPr>
          <w:trHeight w:val="1525"/>
          <w:jc w:val="right"/>
        </w:trPr>
        <w:tc>
          <w:tcPr>
            <w:tcW w:w="9073" w:type="dxa"/>
            <w:gridSpan w:val="2"/>
            <w:vAlign w:val="center"/>
          </w:tcPr>
          <w:p w:rsidR="0077375D" w:rsidRDefault="00885A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متابعة اخر التطورات في مجال البحث </w:t>
            </w:r>
            <w:r>
              <w:rPr>
                <w:b/>
                <w:color w:val="000000"/>
                <w:sz w:val="28"/>
                <w:szCs w:val="28"/>
                <w:rtl/>
              </w:rPr>
              <w:t xml:space="preserve">العلمي ذات الصلة بالمقرر الدراسي . </w:t>
            </w:r>
          </w:p>
          <w:p w:rsidR="0077375D" w:rsidRDefault="00885A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تحديث المقرر الدراسي من خلال متابعة مفردات مناهج الجامعات العالمية </w:t>
            </w:r>
            <w:proofErr w:type="gramStart"/>
            <w:r>
              <w:rPr>
                <w:b/>
                <w:color w:val="000000"/>
                <w:sz w:val="28"/>
                <w:szCs w:val="28"/>
                <w:rtl/>
              </w:rPr>
              <w:t>المتخصصة .</w:t>
            </w:r>
            <w:proofErr w:type="gramEnd"/>
            <w:r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</w:p>
          <w:p w:rsidR="0077375D" w:rsidRDefault="00885A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الاخذ بنظر الاعتبار احتياجات سوق العمل والسعي لتلبيتها من خلال اعادة النظر بمفردات المقرر الدراسي .</w:t>
            </w:r>
          </w:p>
        </w:tc>
      </w:tr>
    </w:tbl>
    <w:p w:rsidR="0077375D" w:rsidRDefault="0077375D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"/>
          <w:szCs w:val="2"/>
        </w:rPr>
      </w:pPr>
    </w:p>
    <w:sectPr w:rsidR="0077375D">
      <w:pgSz w:w="11906" w:h="16838"/>
      <w:pgMar w:top="794" w:right="1797" w:bottom="794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AC5"/>
    <w:multiLevelType w:val="multilevel"/>
    <w:tmpl w:val="9D1CA8E4"/>
    <w:lvl w:ilvl="0">
      <w:start w:val="10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6864F0D"/>
    <w:multiLevelType w:val="multilevel"/>
    <w:tmpl w:val="F99C581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3996BC1"/>
    <w:multiLevelType w:val="multilevel"/>
    <w:tmpl w:val="1E9A4A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375D"/>
    <w:rsid w:val="0077375D"/>
    <w:rsid w:val="0088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4725</Characters>
  <Application>Microsoft Office Word</Application>
  <DocSecurity>0</DocSecurity>
  <Lines>39</Lines>
  <Paragraphs>11</Paragraphs>
  <ScaleCrop>false</ScaleCrop>
  <Company>SACC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3</cp:revision>
  <dcterms:created xsi:type="dcterms:W3CDTF">2021-08-16T06:54:00Z</dcterms:created>
  <dcterms:modified xsi:type="dcterms:W3CDTF">2021-08-16T06:55:00Z</dcterms:modified>
</cp:coreProperties>
</file>